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45E5" w:rsidRDefault="001E45E5">
      <w:pPr>
        <w:spacing w:after="0" w:line="301" w:lineRule="auto"/>
        <w:jc w:val="both"/>
        <w:rPr>
          <w:rFonts w:ascii="Calibri" w:eastAsia="Calibri" w:hAnsi="Calibri" w:cs="Calibri"/>
          <w:b/>
        </w:rPr>
      </w:pPr>
    </w:p>
    <w:p w:rsidR="001E45E5" w:rsidRDefault="00000000">
      <w:pPr>
        <w:spacing w:after="0" w:line="301" w:lineRule="auto"/>
        <w:jc w:val="both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Zenplanto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může dodávat svoje konopí do lékáren</w:t>
      </w:r>
    </w:p>
    <w:p w:rsidR="001E45E5" w:rsidRDefault="00000000">
      <w:pPr>
        <w:spacing w:after="0" w:line="301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E45E5" w:rsidRDefault="00000000">
      <w:pPr>
        <w:spacing w:after="0" w:line="301" w:lineRule="auto"/>
        <w:jc w:val="both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color w:val="0D0D0D"/>
          <w:sz w:val="22"/>
          <w:szCs w:val="22"/>
          <w:highlight w:val="white"/>
        </w:rPr>
        <w:t xml:space="preserve">Praha, 6. května 2024 -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Společnost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white"/>
        </w:rPr>
        <w:t>Zenplanto</w:t>
      </w:r>
      <w:proofErr w:type="spellEnd"/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posílila pozici na trhu a získala </w:t>
      </w:r>
      <w:r>
        <w:rPr>
          <w:rFonts w:ascii="Arial" w:eastAsia="Arial" w:hAnsi="Arial" w:cs="Arial"/>
          <w:b/>
          <w:sz w:val="22"/>
          <w:szCs w:val="22"/>
        </w:rPr>
        <w:t>Rozhodnutí o povolení k distribuci léčivých přípravků. Stává se tak jednou z mála českých firem, které dodávají kvalitní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léčebné konopí lékárnám a dalším subjektům oprávněným k výrobě léčivých přípravků.</w:t>
      </w:r>
    </w:p>
    <w:p w:rsidR="001E45E5" w:rsidRDefault="00000000">
      <w:pPr>
        <w:spacing w:after="0" w:line="301" w:lineRule="auto"/>
        <w:jc w:val="both"/>
        <w:rPr>
          <w:rFonts w:ascii="Arial" w:eastAsia="Arial" w:hAnsi="Arial" w:cs="Arial"/>
          <w:color w:val="0D0D0D"/>
          <w:sz w:val="22"/>
          <w:szCs w:val="22"/>
          <w:highlight w:val="white"/>
        </w:rPr>
      </w:pPr>
      <w:r>
        <w:rPr>
          <w:rFonts w:ascii="Arial" w:eastAsia="Arial" w:hAnsi="Arial" w:cs="Arial"/>
          <w:color w:val="0D0D0D"/>
          <w:sz w:val="22"/>
          <w:szCs w:val="22"/>
          <w:highlight w:val="white"/>
        </w:rPr>
        <w:t xml:space="preserve"> </w:t>
      </w:r>
    </w:p>
    <w:p w:rsidR="001E45E5" w:rsidRDefault="00000000">
      <w:pPr>
        <w:spacing w:after="0" w:line="276" w:lineRule="auto"/>
        <w:jc w:val="both"/>
        <w:rPr>
          <w:rFonts w:ascii="Arial" w:eastAsia="Arial" w:hAnsi="Arial" w:cs="Arial"/>
          <w:color w:val="0D0D0D"/>
          <w:sz w:val="22"/>
          <w:szCs w:val="22"/>
          <w:highlight w:val="white"/>
        </w:rPr>
      </w:pPr>
      <w:r>
        <w:rPr>
          <w:rFonts w:ascii="Arial" w:eastAsia="Arial" w:hAnsi="Arial" w:cs="Arial"/>
          <w:color w:val="0D0D0D"/>
          <w:sz w:val="22"/>
          <w:szCs w:val="22"/>
          <w:highlight w:val="white"/>
        </w:rPr>
        <w:t>Udělené oprávnění umožňuje české pěstírně dodávat léčebné konopí přímo do lékáren, kde je připravováno na míru pacientům podle předpisů lékařů. V budoucnu bude patřit mezi několik málo pěstíren, které své konopí dodávají i na lokální trh. Nyní je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D0D0D"/>
          <w:sz w:val="22"/>
          <w:szCs w:val="22"/>
          <w:highlight w:val="white"/>
        </w:rPr>
        <w:t>českým pacientům předepisováno převážně konopí od zahraničních distributorů.</w:t>
      </w:r>
    </w:p>
    <w:p w:rsidR="001E45E5" w:rsidRDefault="00000000">
      <w:pPr>
        <w:spacing w:after="0" w:line="276" w:lineRule="auto"/>
        <w:jc w:val="both"/>
        <w:rPr>
          <w:rFonts w:ascii="Arial" w:eastAsia="Arial" w:hAnsi="Arial" w:cs="Arial"/>
          <w:color w:val="0D0D0D"/>
          <w:sz w:val="22"/>
          <w:szCs w:val="22"/>
          <w:highlight w:val="white"/>
        </w:rPr>
      </w:pPr>
      <w:r>
        <w:rPr>
          <w:rFonts w:ascii="Arial" w:eastAsia="Arial" w:hAnsi="Arial" w:cs="Arial"/>
          <w:color w:val="0D0D0D"/>
          <w:sz w:val="22"/>
          <w:szCs w:val="22"/>
          <w:highlight w:val="white"/>
        </w:rPr>
        <w:t xml:space="preserve"> </w:t>
      </w:r>
    </w:p>
    <w:p w:rsidR="001E45E5" w:rsidRDefault="00000000">
      <w:pPr>
        <w:spacing w:after="0" w:line="276" w:lineRule="auto"/>
        <w:jc w:val="both"/>
        <w:rPr>
          <w:rFonts w:ascii="Arial" w:eastAsia="Arial" w:hAnsi="Arial" w:cs="Arial"/>
          <w:b/>
          <w:color w:val="0D0D0D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D0D0D"/>
          <w:sz w:val="22"/>
          <w:szCs w:val="22"/>
          <w:highlight w:val="white"/>
        </w:rPr>
        <w:t>Záruka kvality</w:t>
      </w:r>
    </w:p>
    <w:p w:rsidR="001E45E5" w:rsidRDefault="00000000">
      <w:pPr>
        <w:spacing w:after="0" w:line="301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GDP neboli Správná distribuční praxe garantuje, že společnost </w:t>
      </w:r>
      <w:proofErr w:type="spellStart"/>
      <w:r>
        <w:rPr>
          <w:rFonts w:ascii="Arial" w:eastAsia="Arial" w:hAnsi="Arial" w:cs="Arial"/>
          <w:sz w:val="22"/>
          <w:szCs w:val="22"/>
        </w:rPr>
        <w:t>Zenplanto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distribuuje pouze konopí vyrobené subjekty s potřebným oprávněním a je dodáváno rovněž ověřeným odběratelům, jako jsou lékárny a ostatní distributoři. Zároveň je v průběhu transportu chráněno před jakýmkoliv poškozením kvality.</w:t>
      </w:r>
    </w:p>
    <w:p w:rsidR="001E45E5" w:rsidRDefault="00000000">
      <w:pPr>
        <w:spacing w:after="0" w:line="301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E45E5" w:rsidRDefault="00000000">
      <w:pPr>
        <w:spacing w:after="0" w:line="301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„Získané oprávnění v rámci GDP je klíčové pro to, abychom své zákazníky ujistili o kvalitě a bezpečnosti našich produktů. Také nám umožňuje efektivněji spravovat naše dodavatelské řetězce a kontrolovat kvalitu, což je nezbytné pro dodržování legislativních standardů v oblasti léčebného konopí,“ </w:t>
      </w:r>
      <w:r>
        <w:rPr>
          <w:rFonts w:ascii="Arial" w:eastAsia="Arial" w:hAnsi="Arial" w:cs="Arial"/>
          <w:sz w:val="22"/>
          <w:szCs w:val="22"/>
        </w:rPr>
        <w:t xml:space="preserve">komentuje Petra Honsů z oddělení jištění kvality a kvalifikovaná osoba pro distribuci společnosti </w:t>
      </w:r>
      <w:proofErr w:type="spellStart"/>
      <w:r>
        <w:rPr>
          <w:rFonts w:ascii="Arial" w:eastAsia="Arial" w:hAnsi="Arial" w:cs="Arial"/>
          <w:sz w:val="22"/>
          <w:szCs w:val="22"/>
        </w:rPr>
        <w:t>Zenplanto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 </w:t>
      </w:r>
    </w:p>
    <w:p w:rsidR="001E45E5" w:rsidRDefault="00000000">
      <w:pPr>
        <w:spacing w:after="0" w:line="301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E45E5" w:rsidRDefault="00000000">
      <w:pPr>
        <w:spacing w:after="0" w:line="301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GDP zahrnuje důkladnou kontrolu a dodržování přísných norem a předpisů, včetně zákona o léčivech, vyhlášky o výrobě a distribuci léčiv a pokynů Evropské unie pro správnou distribuční praxi. </w:t>
      </w:r>
      <w:r>
        <w:rPr>
          <w:rFonts w:ascii="Arial" w:eastAsia="Arial" w:hAnsi="Arial" w:cs="Arial"/>
          <w:i/>
          <w:sz w:val="22"/>
          <w:szCs w:val="22"/>
        </w:rPr>
        <w:t>„Implementovali jsme systém jakosti a postupy, které zaručují trvalé dodržování těchto předpisů. Součástí efektivního systému jakosti jsou mimo jiné pravidelná školení zaměstnanců či interní audity,“</w:t>
      </w:r>
      <w:r>
        <w:rPr>
          <w:rFonts w:ascii="Arial" w:eastAsia="Arial" w:hAnsi="Arial" w:cs="Arial"/>
          <w:sz w:val="22"/>
          <w:szCs w:val="22"/>
        </w:rPr>
        <w:t xml:space="preserve"> doplňuje Honsů.</w:t>
      </w:r>
    </w:p>
    <w:p w:rsidR="001E45E5" w:rsidRDefault="00000000">
      <w:pPr>
        <w:spacing w:after="0" w:line="301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E45E5" w:rsidRDefault="00000000">
      <w:pPr>
        <w:spacing w:after="0" w:line="301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Legislativa je ale stále nejednoznačná</w:t>
      </w:r>
    </w:p>
    <w:p w:rsidR="001E45E5" w:rsidRDefault="00000000">
      <w:pPr>
        <w:spacing w:after="0" w:line="301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Navzdory pozitivním změnám zůstává legislativa v oblasti léčebného konopí nadále částečně komplikovaná. Odborníci ze </w:t>
      </w:r>
      <w:proofErr w:type="spellStart"/>
      <w:r>
        <w:rPr>
          <w:rFonts w:ascii="Arial" w:eastAsia="Arial" w:hAnsi="Arial" w:cs="Arial"/>
          <w:sz w:val="22"/>
          <w:szCs w:val="22"/>
        </w:rPr>
        <w:t>Zenplanta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upozorňují na složitost implementace některých legislativních požadavků, které jsou často komplikovanější kvůli specifikům konopí. „</w:t>
      </w:r>
      <w:r>
        <w:rPr>
          <w:rFonts w:ascii="Arial" w:eastAsia="Arial" w:hAnsi="Arial" w:cs="Arial"/>
          <w:i/>
          <w:sz w:val="22"/>
          <w:szCs w:val="22"/>
        </w:rPr>
        <w:t>Ačkoliv pro konopí platí obecné požadavky jako pro léčivé látky, a částečně také pro léčivé přípravky, ne vždy je jejich výklad jednoznačný. SÚKL je však v procesu certifikace velmi nápomocný, což platí jak pro oblast GDP, tak i pro certifikaci GMP, kterou jsme také získali</w:t>
      </w:r>
      <w:r>
        <w:rPr>
          <w:rFonts w:ascii="Arial" w:eastAsia="Arial" w:hAnsi="Arial" w:cs="Arial"/>
          <w:sz w:val="22"/>
          <w:szCs w:val="22"/>
        </w:rPr>
        <w:t>,“ uzavírá Honsů.</w:t>
      </w:r>
    </w:p>
    <w:p w:rsidR="001E45E5" w:rsidRDefault="00000000">
      <w:pPr>
        <w:spacing w:after="0" w:line="301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D64A2" w:rsidRDefault="000D64A2">
      <w:pPr>
        <w:spacing w:after="0" w:line="301" w:lineRule="auto"/>
        <w:jc w:val="both"/>
        <w:rPr>
          <w:rFonts w:ascii="Arial" w:eastAsia="Arial" w:hAnsi="Arial" w:cs="Arial"/>
        </w:rPr>
      </w:pPr>
    </w:p>
    <w:p w:rsidR="000D64A2" w:rsidRDefault="000D64A2">
      <w:pPr>
        <w:spacing w:after="0" w:line="301" w:lineRule="auto"/>
        <w:jc w:val="both"/>
        <w:rPr>
          <w:rFonts w:ascii="Arial" w:eastAsia="Arial" w:hAnsi="Arial" w:cs="Arial"/>
        </w:rPr>
      </w:pPr>
    </w:p>
    <w:p w:rsidR="000D64A2" w:rsidRDefault="000D64A2">
      <w:pPr>
        <w:spacing w:after="0" w:line="301" w:lineRule="auto"/>
        <w:jc w:val="both"/>
        <w:rPr>
          <w:rFonts w:ascii="Arial" w:eastAsia="Arial" w:hAnsi="Arial" w:cs="Arial"/>
        </w:rPr>
      </w:pPr>
    </w:p>
    <w:p w:rsidR="000D64A2" w:rsidRDefault="000D64A2">
      <w:pPr>
        <w:spacing w:after="0" w:line="301" w:lineRule="auto"/>
        <w:jc w:val="both"/>
        <w:rPr>
          <w:rFonts w:ascii="Arial" w:eastAsia="Arial" w:hAnsi="Arial" w:cs="Arial"/>
        </w:rPr>
      </w:pPr>
    </w:p>
    <w:p w:rsidR="001E45E5" w:rsidRDefault="00000000">
      <w:pPr>
        <w:spacing w:after="0" w:line="301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***</w:t>
      </w:r>
    </w:p>
    <w:p w:rsidR="001E45E5" w:rsidRDefault="00000000">
      <w:pPr>
        <w:spacing w:after="0" w:line="301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Zenplanto</w:t>
      </w:r>
      <w:proofErr w:type="spellEnd"/>
      <w:r>
        <w:rPr>
          <w:rFonts w:ascii="Arial" w:eastAsia="Arial" w:hAnsi="Arial" w:cs="Arial"/>
        </w:rPr>
        <w:t>:</w:t>
      </w:r>
    </w:p>
    <w:p w:rsidR="001E45E5" w:rsidRDefault="00000000">
      <w:pPr>
        <w:spacing w:after="0" w:line="301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Společnost </w:t>
      </w:r>
      <w:proofErr w:type="spellStart"/>
      <w:r>
        <w:rPr>
          <w:rFonts w:ascii="Arial" w:eastAsia="Arial" w:hAnsi="Arial" w:cs="Arial"/>
        </w:rPr>
        <w:t>Zenplanto</w:t>
      </w:r>
      <w:proofErr w:type="spellEnd"/>
      <w:r>
        <w:rPr>
          <w:rFonts w:ascii="Arial" w:eastAsia="Arial" w:hAnsi="Arial" w:cs="Arial"/>
        </w:rPr>
        <w:t xml:space="preserve"> byla založena v roce 2022. Zaměřujeme se na sektor </w:t>
      </w:r>
      <w:proofErr w:type="spellStart"/>
      <w:r>
        <w:rPr>
          <w:rFonts w:ascii="Arial" w:eastAsia="Arial" w:hAnsi="Arial" w:cs="Arial"/>
        </w:rPr>
        <w:t>healthcare</w:t>
      </w:r>
      <w:proofErr w:type="spellEnd"/>
      <w:r>
        <w:rPr>
          <w:rFonts w:ascii="Arial" w:eastAsia="Arial" w:hAnsi="Arial" w:cs="Arial"/>
        </w:rPr>
        <w:t xml:space="preserve">, konkrétně na produkci zboží a služeb spojených s konopím. Spoluzakladatelem a majitelem majoritního podílu v projektu je investiční fond </w:t>
      </w:r>
      <w:proofErr w:type="spellStart"/>
      <w:r>
        <w:rPr>
          <w:rFonts w:ascii="Arial" w:eastAsia="Arial" w:hAnsi="Arial" w:cs="Arial"/>
        </w:rPr>
        <w:t>eMan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Innovations</w:t>
      </w:r>
      <w:proofErr w:type="spellEnd"/>
      <w:r>
        <w:rPr>
          <w:rFonts w:ascii="Arial" w:eastAsia="Arial" w:hAnsi="Arial" w:cs="Arial"/>
        </w:rPr>
        <w:t xml:space="preserve">, venture kapitálový fond, který se zaměřuje na tuzemské i zahraniční technologické projekty s globálním potenciálem, za kterým stojí technologická společnost </w:t>
      </w:r>
      <w:proofErr w:type="spellStart"/>
      <w:r>
        <w:rPr>
          <w:rFonts w:ascii="Arial" w:eastAsia="Arial" w:hAnsi="Arial" w:cs="Arial"/>
        </w:rPr>
        <w:t>eMan</w:t>
      </w:r>
      <w:proofErr w:type="spellEnd"/>
      <w:r>
        <w:rPr>
          <w:rFonts w:ascii="Arial" w:eastAsia="Arial" w:hAnsi="Arial" w:cs="Arial"/>
        </w:rPr>
        <w:t xml:space="preserve">. Společnost </w:t>
      </w:r>
      <w:proofErr w:type="spellStart"/>
      <w:r>
        <w:rPr>
          <w:rFonts w:ascii="Arial" w:eastAsia="Arial" w:hAnsi="Arial" w:cs="Arial"/>
        </w:rPr>
        <w:t>eMan</w:t>
      </w:r>
      <w:proofErr w:type="spellEnd"/>
      <w:r>
        <w:rPr>
          <w:rFonts w:ascii="Arial" w:eastAsia="Arial" w:hAnsi="Arial" w:cs="Arial"/>
        </w:rPr>
        <w:t xml:space="preserve"> je přední český dodavatel softwaru, od roku 2020 jsou její akcie veřejně obchodovány na trhu PX Start na Burze cenných papírů Praha. Více na</w:t>
      </w:r>
      <w:hyperlink r:id="rId7">
        <w:r>
          <w:rPr>
            <w:rFonts w:ascii="Arial" w:eastAsia="Arial" w:hAnsi="Arial" w:cs="Arial"/>
          </w:rPr>
          <w:t xml:space="preserve"> </w:t>
        </w:r>
      </w:hyperlink>
      <w:hyperlink r:id="rId8">
        <w:r>
          <w:rPr>
            <w:rFonts w:ascii="Arial" w:eastAsia="Arial" w:hAnsi="Arial" w:cs="Arial"/>
            <w:color w:val="0563C1"/>
            <w:u w:val="single"/>
          </w:rPr>
          <w:t>www.zenplanto.com</w:t>
        </w:r>
      </w:hyperlink>
      <w:r>
        <w:rPr>
          <w:rFonts w:ascii="Arial" w:eastAsia="Arial" w:hAnsi="Arial" w:cs="Arial"/>
        </w:rPr>
        <w:t xml:space="preserve"> a</w:t>
      </w:r>
      <w:hyperlink r:id="rId9">
        <w:r>
          <w:rPr>
            <w:rFonts w:ascii="Arial" w:eastAsia="Arial" w:hAnsi="Arial" w:cs="Arial"/>
            <w:color w:val="0563C1"/>
            <w:u w:val="single"/>
          </w:rPr>
          <w:t xml:space="preserve"> </w:t>
        </w:r>
      </w:hyperlink>
      <w:hyperlink r:id="rId10">
        <w:r>
          <w:rPr>
            <w:rFonts w:ascii="Arial" w:eastAsia="Arial" w:hAnsi="Arial" w:cs="Arial"/>
            <w:color w:val="467886"/>
            <w:u w:val="single"/>
          </w:rPr>
          <w:t>www.zenplanto-farms.com</w:t>
        </w:r>
      </w:hyperlink>
      <w:r>
        <w:rPr>
          <w:rFonts w:ascii="Arial" w:eastAsia="Arial" w:hAnsi="Arial" w:cs="Arial"/>
        </w:rPr>
        <w:t>.</w:t>
      </w:r>
    </w:p>
    <w:p w:rsidR="001E45E5" w:rsidRDefault="00000000">
      <w:pPr>
        <w:spacing w:after="0" w:line="301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1E45E5" w:rsidRDefault="00000000">
      <w:pPr>
        <w:spacing w:after="0" w:line="30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0D64A2" w:rsidRDefault="000D64A2">
      <w:pPr>
        <w:spacing w:after="0" w:line="301" w:lineRule="auto"/>
        <w:jc w:val="both"/>
        <w:rPr>
          <w:rFonts w:ascii="Calibri" w:eastAsia="Calibri" w:hAnsi="Calibri" w:cs="Calibri"/>
        </w:rPr>
      </w:pPr>
    </w:p>
    <w:p w:rsidR="000D64A2" w:rsidRPr="000D64A2" w:rsidRDefault="000D64A2" w:rsidP="000D64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000000"/>
        </w:rPr>
        <w:t>Kontakt pro média:</w:t>
      </w:r>
    </w:p>
    <w:p w:rsidR="000D64A2" w:rsidRPr="000D64A2" w:rsidRDefault="000D64A2" w:rsidP="000D64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000000"/>
        </w:rPr>
        <w:t>Renata Faltejsková</w:t>
      </w:r>
    </w:p>
    <w:p w:rsidR="000D64A2" w:rsidRPr="000D64A2" w:rsidRDefault="000D64A2" w:rsidP="000D64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1155CC"/>
        </w:rPr>
        <w:t>renata.faltejskova@abbba.cz</w:t>
      </w:r>
    </w:p>
    <w:p w:rsidR="000D64A2" w:rsidRPr="000D64A2" w:rsidRDefault="000D64A2" w:rsidP="000D64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000000"/>
        </w:rPr>
        <w:t>+420 774 888 900</w:t>
      </w:r>
    </w:p>
    <w:p w:rsidR="000D64A2" w:rsidRPr="000D64A2" w:rsidRDefault="000D64A2" w:rsidP="000D64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000000"/>
        </w:rPr>
        <w:t xml:space="preserve">ABBBA </w:t>
      </w:r>
      <w:proofErr w:type="spellStart"/>
      <w:r w:rsidRPr="000D64A2">
        <w:rPr>
          <w:rFonts w:ascii="Arial" w:eastAsia="Times New Roman" w:hAnsi="Arial" w:cs="Arial"/>
          <w:color w:val="000000"/>
        </w:rPr>
        <w:t>Consulting</w:t>
      </w:r>
      <w:proofErr w:type="spellEnd"/>
      <w:r w:rsidRPr="000D64A2">
        <w:rPr>
          <w:rFonts w:ascii="Arial" w:eastAsia="Times New Roman" w:hAnsi="Arial" w:cs="Arial"/>
          <w:color w:val="000000"/>
        </w:rPr>
        <w:t>, s.r.o.</w:t>
      </w:r>
    </w:p>
    <w:p w:rsidR="000D64A2" w:rsidRPr="000D64A2" w:rsidRDefault="000D64A2" w:rsidP="000D64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000000"/>
        </w:rPr>
        <w:t> </w:t>
      </w:r>
    </w:p>
    <w:p w:rsidR="000D64A2" w:rsidRPr="000D64A2" w:rsidRDefault="000D64A2" w:rsidP="000D64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000000"/>
        </w:rPr>
        <w:t>Nicole Baronová</w:t>
      </w:r>
    </w:p>
    <w:p w:rsidR="000D64A2" w:rsidRPr="000D64A2" w:rsidRDefault="000D64A2" w:rsidP="000D64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1155CC"/>
        </w:rPr>
        <w:t>nicole.baronova@abbba.cz</w:t>
      </w:r>
    </w:p>
    <w:p w:rsidR="000D64A2" w:rsidRPr="000D64A2" w:rsidRDefault="000D64A2" w:rsidP="000D64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000000"/>
        </w:rPr>
        <w:t>+420 776 204 565</w:t>
      </w:r>
    </w:p>
    <w:p w:rsidR="000D64A2" w:rsidRPr="000D64A2" w:rsidRDefault="000D64A2" w:rsidP="000D64A2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000000"/>
        </w:rPr>
        <w:t xml:space="preserve">ABBBA </w:t>
      </w:r>
      <w:proofErr w:type="spellStart"/>
      <w:r w:rsidRPr="000D64A2">
        <w:rPr>
          <w:rFonts w:ascii="Arial" w:eastAsia="Times New Roman" w:hAnsi="Arial" w:cs="Arial"/>
          <w:color w:val="000000"/>
        </w:rPr>
        <w:t>Consulting</w:t>
      </w:r>
      <w:proofErr w:type="spellEnd"/>
      <w:r w:rsidRPr="000D64A2">
        <w:rPr>
          <w:rFonts w:ascii="Arial" w:eastAsia="Times New Roman" w:hAnsi="Arial" w:cs="Arial"/>
          <w:color w:val="000000"/>
        </w:rPr>
        <w:t>, s.r.o.</w:t>
      </w:r>
    </w:p>
    <w:p w:rsidR="000D64A2" w:rsidRPr="000D64A2" w:rsidRDefault="000D64A2" w:rsidP="000D64A2">
      <w:pPr>
        <w:spacing w:after="0" w:line="240" w:lineRule="auto"/>
        <w:rPr>
          <w:rFonts w:ascii="Arial" w:eastAsia="Times New Roman" w:hAnsi="Arial" w:cs="Arial"/>
        </w:rPr>
      </w:pPr>
    </w:p>
    <w:p w:rsidR="000D64A2" w:rsidRPr="00294B53" w:rsidRDefault="000D64A2">
      <w:pPr>
        <w:spacing w:after="0" w:line="301" w:lineRule="auto"/>
        <w:jc w:val="both"/>
        <w:rPr>
          <w:rFonts w:ascii="Arial" w:eastAsia="Calibri" w:hAnsi="Arial" w:cs="Arial"/>
        </w:rPr>
      </w:pPr>
    </w:p>
    <w:p w:rsidR="001E45E5" w:rsidRDefault="001E45E5">
      <w:pPr>
        <w:spacing w:after="0"/>
        <w:jc w:val="both"/>
        <w:rPr>
          <w:rFonts w:ascii="Calibri" w:eastAsia="Calibri" w:hAnsi="Calibri" w:cs="Calibri"/>
        </w:rPr>
      </w:pPr>
    </w:p>
    <w:sectPr w:rsidR="001E45E5">
      <w:headerReference w:type="default" r:id="rId11"/>
      <w:footerReference w:type="default" r:id="rId12"/>
      <w:pgSz w:w="11906" w:h="16838"/>
      <w:pgMar w:top="150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2837" w:rsidRDefault="00282837">
      <w:pPr>
        <w:spacing w:after="0" w:line="240" w:lineRule="auto"/>
      </w:pPr>
      <w:r>
        <w:separator/>
      </w:r>
    </w:p>
  </w:endnote>
  <w:endnote w:type="continuationSeparator" w:id="0">
    <w:p w:rsidR="00282837" w:rsidRDefault="0028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45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Stránka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5FB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z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D5FB2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2837" w:rsidRDefault="00282837">
      <w:pPr>
        <w:spacing w:after="0" w:line="240" w:lineRule="auto"/>
      </w:pPr>
      <w:r>
        <w:separator/>
      </w:r>
    </w:p>
  </w:footnote>
  <w:footnote w:type="continuationSeparator" w:id="0">
    <w:p w:rsidR="00282837" w:rsidRDefault="0028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45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0</wp:posOffset>
          </wp:positionH>
          <wp:positionV relativeFrom="margin">
            <wp:posOffset>-714925</wp:posOffset>
          </wp:positionV>
          <wp:extent cx="1760855" cy="492125"/>
          <wp:effectExtent l="0" t="0" r="0" b="0"/>
          <wp:wrapSquare wrapText="bothSides" distT="0" distB="0" distL="114300" distR="114300"/>
          <wp:docPr id="3" name="image1.png" descr="Zenplan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enplan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855" cy="49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E5"/>
    <w:rsid w:val="000D64A2"/>
    <w:rsid w:val="001E45E5"/>
    <w:rsid w:val="00282837"/>
    <w:rsid w:val="00294B53"/>
    <w:rsid w:val="002E69B5"/>
    <w:rsid w:val="00E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5BE0CA"/>
  <w15:docId w15:val="{188DAEB7-7DBE-614F-830D-7E4FF897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3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3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3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3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3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3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3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3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3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B3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3B3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3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3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35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35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35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35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35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35FD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3B3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3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3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35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35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35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3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35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35F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D4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461B"/>
  </w:style>
  <w:style w:type="paragraph" w:styleId="Zpat">
    <w:name w:val="footer"/>
    <w:basedOn w:val="Normln"/>
    <w:link w:val="ZpatChar"/>
    <w:uiPriority w:val="99"/>
    <w:unhideWhenUsed/>
    <w:rsid w:val="00DD4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461B"/>
  </w:style>
  <w:style w:type="character" w:styleId="Hypertextovodkaz">
    <w:name w:val="Hyperlink"/>
    <w:basedOn w:val="Standardnpsmoodstavce"/>
    <w:uiPriority w:val="99"/>
    <w:unhideWhenUsed/>
    <w:rsid w:val="00DD461B"/>
    <w:rPr>
      <w:color w:val="467886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765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5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5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5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5AB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D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nplanto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enplanto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zenplanto-farm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nplanto-farm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+OJHx8x8etjLZ9FqEGss3uZBsg==">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Faltejsková</dc:creator>
  <cp:lastModifiedBy>Microsoft Office User</cp:lastModifiedBy>
  <cp:revision>3</cp:revision>
  <dcterms:created xsi:type="dcterms:W3CDTF">2024-05-09T08:56:00Z</dcterms:created>
  <dcterms:modified xsi:type="dcterms:W3CDTF">2024-05-09T08:57:00Z</dcterms:modified>
</cp:coreProperties>
</file>